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49" w:lineRule="auto"/>
        <w:rPr>
          <w:rFonts w:ascii="Arial"/>
          <w:sz w:val="21"/>
        </w:rPr>
      </w:pPr>
    </w:p>
    <w:p>
      <w:pPr>
        <w:spacing w:before="52" w:line="51" w:lineRule="exact"/>
        <w:ind w:left="4594"/>
        <w:rPr>
          <w:rFonts w:ascii="Arial"/>
          <w:sz w:val="21"/>
        </w:rPr>
      </w:pPr>
    </w:p>
    <w:p>
      <w:pPr>
        <w:spacing w:before="114" w:line="225" w:lineRule="auto"/>
        <w:ind w:left="1994"/>
        <w:rPr>
          <w:rFonts w:ascii="宋体" w:hAnsi="宋体" w:eastAsia="宋体" w:cs="宋体"/>
          <w:sz w:val="35"/>
          <w:szCs w:val="35"/>
        </w:rPr>
      </w:pPr>
      <w:r>
        <w:rPr>
          <w:rFonts w:ascii="Times New Roman" w:hAnsi="Times New Roman" w:eastAsia="Times New Roman" w:cs="Times New Roman"/>
          <w:b/>
          <w:bCs/>
          <w:spacing w:val="8"/>
          <w:sz w:val="35"/>
          <w:szCs w:val="35"/>
        </w:rPr>
        <w:t xml:space="preserve">2023 </w:t>
      </w:r>
      <w:r>
        <w:rPr>
          <w:rFonts w:ascii="宋体" w:hAnsi="宋体" w:eastAsia="宋体" w:cs="宋体"/>
          <w:spacing w:val="8"/>
          <w:sz w:val="35"/>
          <w:szCs w:val="35"/>
          <w14:textOutline w14:w="6537" w14:cap="sq" w14:cmpd="sng">
            <w14:solidFill>
              <w14:srgbClr w14:val="000000"/>
            </w14:solidFill>
            <w14:prstDash w14:val="solid"/>
            <w14:bevel/>
          </w14:textOutline>
        </w:rPr>
        <w:t>年度广东省科学技术奖公示表</w:t>
      </w:r>
    </w:p>
    <w:p>
      <w:pPr>
        <w:spacing w:before="41" w:line="225" w:lineRule="auto"/>
        <w:jc w:val="center"/>
        <w:outlineLvl w:val="0"/>
        <w:rPr>
          <w:rFonts w:ascii="宋体" w:hAnsi="宋体" w:eastAsia="宋体" w:cs="宋体"/>
          <w:sz w:val="35"/>
          <w:szCs w:val="35"/>
        </w:rPr>
      </w:pPr>
      <w:r>
        <w:rPr>
          <w:rFonts w:ascii="宋体" w:hAnsi="宋体" w:eastAsia="宋体" w:cs="宋体"/>
          <w:spacing w:val="-33"/>
          <w:sz w:val="35"/>
          <w:szCs w:val="35"/>
          <w14:textOutline w14:w="6537" w14:cap="sq" w14:cmpd="sng">
            <w14:solidFill>
              <w14:srgbClr w14:val="000000"/>
            </w14:solidFill>
            <w14:prstDash w14:val="solid"/>
            <w14:bevel/>
          </w14:textOutline>
        </w:rPr>
        <w:t>（科技进步奖</w:t>
      </w:r>
      <w:r>
        <w:rPr>
          <w:rFonts w:ascii="宋体" w:hAnsi="宋体" w:eastAsia="宋体" w:cs="宋体"/>
          <w:spacing w:val="-34"/>
          <w:sz w:val="35"/>
          <w:szCs w:val="35"/>
          <w14:textOutline w14:w="6537" w14:cap="sq" w14:cmpd="sng">
            <w14:solidFill>
              <w14:srgbClr w14:val="000000"/>
            </w14:solidFill>
            <w14:prstDash w14:val="solid"/>
            <w14:bevel/>
          </w14:textOutline>
        </w:rPr>
        <w:t>）</w:t>
      </w:r>
    </w:p>
    <w:p>
      <w:pPr>
        <w:spacing w:line="229" w:lineRule="exact"/>
      </w:pPr>
    </w:p>
    <w:tbl>
      <w:tblPr>
        <w:tblStyle w:val="5"/>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25"/>
        <w:gridCol w:w="7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5" w:type="pct"/>
            <w:vAlign w:val="top"/>
          </w:tcPr>
          <w:p>
            <w:pPr>
              <w:spacing w:before="186" w:line="189" w:lineRule="auto"/>
              <w:ind w:left="389"/>
              <w:rPr>
                <w:rFonts w:ascii="微软雅黑" w:hAnsi="微软雅黑" w:eastAsia="微软雅黑" w:cs="微软雅黑"/>
                <w:sz w:val="20"/>
                <w:szCs w:val="20"/>
              </w:rPr>
            </w:pPr>
            <w:r>
              <w:rPr>
                <w:rFonts w:ascii="微软雅黑" w:hAnsi="微软雅黑" w:eastAsia="微软雅黑" w:cs="微软雅黑"/>
                <w:b/>
                <w:bCs/>
                <w:spacing w:val="8"/>
                <w:sz w:val="20"/>
                <w:szCs w:val="20"/>
              </w:rPr>
              <w:t>项目名称</w:t>
            </w: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鼻咽癌精准预后与治疗关键技术及临床应用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5" w:type="pct"/>
            <w:vMerge w:val="restart"/>
            <w:vAlign w:val="top"/>
          </w:tcPr>
          <w:p>
            <w:pPr>
              <w:pStyle w:val="6"/>
              <w:spacing w:line="286" w:lineRule="auto"/>
            </w:pPr>
          </w:p>
          <w:p>
            <w:pPr>
              <w:pStyle w:val="6"/>
              <w:spacing w:line="286" w:lineRule="auto"/>
            </w:pPr>
          </w:p>
          <w:p>
            <w:pPr>
              <w:spacing w:before="86" w:line="190" w:lineRule="auto"/>
              <w:ind w:left="180"/>
              <w:rPr>
                <w:rFonts w:ascii="微软雅黑" w:hAnsi="微软雅黑" w:eastAsia="微软雅黑" w:cs="微软雅黑"/>
                <w:sz w:val="20"/>
                <w:szCs w:val="20"/>
              </w:rPr>
            </w:pPr>
            <w:r>
              <w:rPr>
                <w:rFonts w:ascii="微软雅黑" w:hAnsi="微软雅黑" w:eastAsia="微软雅黑" w:cs="微软雅黑"/>
                <w:b/>
                <w:bCs/>
                <w:spacing w:val="8"/>
                <w:sz w:val="20"/>
                <w:szCs w:val="20"/>
              </w:rPr>
              <w:t>主要完成单位</w:t>
            </w: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香港大学深圳医院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5" w:type="pct"/>
            <w:vMerge w:val="continue"/>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香港大学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55" w:type="pct"/>
            <w:vMerge w:val="continue"/>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福建省肿瘤医院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restart"/>
            <w:tcBorders>
              <w:bottom w:val="nil"/>
            </w:tcBorders>
            <w:vAlign w:val="top"/>
          </w:tcPr>
          <w:p>
            <w:pPr>
              <w:pStyle w:val="6"/>
              <w:spacing w:line="267" w:lineRule="auto"/>
            </w:pPr>
          </w:p>
          <w:p>
            <w:pPr>
              <w:spacing w:before="85" w:line="236" w:lineRule="auto"/>
              <w:ind w:left="88" w:right="16" w:firstLine="196"/>
              <w:rPr>
                <w:rFonts w:ascii="微软雅黑" w:hAnsi="微软雅黑" w:eastAsia="微软雅黑" w:cs="微软雅黑"/>
                <w:sz w:val="20"/>
                <w:szCs w:val="20"/>
              </w:rPr>
            </w:pPr>
            <w:r>
              <w:rPr>
                <w:rFonts w:ascii="微软雅黑" w:hAnsi="微软雅黑" w:eastAsia="微软雅黑" w:cs="微软雅黑"/>
                <w:b/>
                <w:bCs/>
                <w:spacing w:val="8"/>
                <w:sz w:val="20"/>
                <w:szCs w:val="20"/>
              </w:rPr>
              <w:t>主要完成人</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 xml:space="preserve">（职称、完成单  </w:t>
            </w:r>
            <w:r>
              <w:rPr>
                <w:rFonts w:ascii="微软雅黑" w:hAnsi="微软雅黑" w:eastAsia="微软雅黑" w:cs="微软雅黑"/>
                <w:b/>
                <w:bCs/>
                <w:spacing w:val="15"/>
                <w:sz w:val="20"/>
                <w:szCs w:val="20"/>
              </w:rPr>
              <w:t>位、工作单位）</w:t>
            </w: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bookmarkStart w:id="0" w:name="OLE_LINK1"/>
            <w:r>
              <w:rPr>
                <w:rFonts w:hint="eastAsia" w:ascii="微软雅黑" w:hAnsi="微软雅黑" w:eastAsia="微软雅黑" w:cs="微软雅黑"/>
                <w:sz w:val="20"/>
                <w:szCs w:val="20"/>
                <w:lang w:val="en-US" w:eastAsia="zh-CN"/>
              </w:rPr>
              <w:t>李咏梅，主任医师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w:t>
            </w:r>
          </w:p>
          <w:bookmarkEnd w:id="0"/>
          <w:p>
            <w:pPr>
              <w:spacing w:before="68" w:line="226" w:lineRule="auto"/>
              <w:ind w:left="210" w:leftChars="100"/>
              <w:jc w:val="both"/>
              <w:rPr>
                <w:rFonts w:ascii="微软雅黑" w:hAnsi="微软雅黑" w:eastAsia="微软雅黑" w:cs="微软雅黑"/>
                <w:sz w:val="20"/>
                <w:szCs w:val="20"/>
              </w:rPr>
            </w:pPr>
            <w:bookmarkStart w:id="1" w:name="OLE_LINK3"/>
            <w:r>
              <w:rPr>
                <w:rFonts w:hint="eastAsia" w:ascii="微软雅黑" w:hAnsi="微软雅黑" w:eastAsia="微软雅黑" w:cs="微软雅黑"/>
                <w:sz w:val="20"/>
                <w:szCs w:val="20"/>
                <w:lang w:val="en-US" w:eastAsia="zh-CN"/>
              </w:rPr>
              <w:t>主要贡献：</w:t>
            </w:r>
            <w:bookmarkEnd w:id="1"/>
            <w:r>
              <w:rPr>
                <w:rFonts w:hint="eastAsia" w:ascii="微软雅黑" w:hAnsi="微软雅黑" w:eastAsia="微软雅黑" w:cs="微软雅黑"/>
                <w:sz w:val="20"/>
                <w:szCs w:val="20"/>
                <w:lang w:val="en-US" w:eastAsia="zh-CN"/>
              </w:rPr>
              <w:t>作为项目主要负责人，承担项目所有核心科技内容的主持、设计、实施和全球推广。主编鼻咽癌专著1部；创建3部鼻咽精准治疗关键技术国际指南；以第一作者、通讯作者发表高影响力的SCI论文110余篇，总影响因子799；总被引用次数12045。其主持了一系列前瞻性多中心随机对照临床研究，成果收录于顶尖期刊JCO (IF 50.739)、European Journal of Cancer (IF 10)等。代表作被引频次进入Clinical Medicine学术领域最优秀的1%之列。于国际肿瘤学学术会议对研究成果进行专题讲座92次；获顶级期刊JCO (IF 50.739)、Cancer Treat Rev (IF 8.885)、Int J Radiat Oncol Biol Phys (IF 8.013)等特邀发表综述。架起了东、西方鼻咽癌领域科技发展与成果交流的桥梁，提升了我国鼻咽癌科技成果在世界上的影响力。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continue"/>
            <w:tcBorders>
              <w:top w:val="nil"/>
              <w:bottom w:val="nil"/>
            </w:tcBorders>
            <w:vAlign w:val="top"/>
          </w:tcPr>
          <w:p>
            <w:pPr>
              <w:pStyle w:val="6"/>
            </w:pP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bookmarkStart w:id="2" w:name="OLE_LINK2"/>
            <w:r>
              <w:rPr>
                <w:rFonts w:hint="eastAsia" w:ascii="微软雅黑" w:hAnsi="微软雅黑" w:eastAsia="微软雅黑" w:cs="微软雅黑"/>
                <w:sz w:val="20"/>
                <w:szCs w:val="20"/>
                <w:lang w:val="en-US" w:eastAsia="zh-CN"/>
              </w:rPr>
              <w:t>关新元，教授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工作单位：香港大学深圳医院/香港大学</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w:t>
            </w:r>
          </w:p>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w:t>
            </w:r>
            <w:bookmarkStart w:id="3" w:name="OLE_LINK4"/>
            <w:r>
              <w:rPr>
                <w:rFonts w:hint="eastAsia" w:ascii="微软雅黑" w:hAnsi="微软雅黑" w:eastAsia="微软雅黑" w:cs="微软雅黑"/>
                <w:sz w:val="20"/>
                <w:szCs w:val="20"/>
                <w:lang w:val="en-US" w:eastAsia="zh-CN"/>
              </w:rPr>
              <w:t>参与项目第1、4项核心内容的部分设计、实施、撰写论文、培养博士；作为行业内富有经验的顶级科学家负责领衔项目组鼻咽癌的基础研究、临床转化研究。作为通讯作者带领团队发表多篇SCI。</w:t>
            </w:r>
            <w:bookmarkEnd w:id="2"/>
            <w:bookmarkEnd w:id="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55" w:type="pct"/>
            <w:vMerge w:val="continue"/>
            <w:tcBorders>
              <w:top w:val="nil"/>
              <w:bottom w:val="nil"/>
            </w:tcBorders>
            <w:vAlign w:val="top"/>
          </w:tcPr>
          <w:p>
            <w:pPr>
              <w:pStyle w:val="6"/>
            </w:pP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吴伟棠，教授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完成单位：东区尤德夫人那打素医院</w:t>
            </w:r>
          </w:p>
          <w:p>
            <w:pPr>
              <w:spacing w:before="68" w:line="226" w:lineRule="auto"/>
              <w:ind w:left="210" w:leftChars="100"/>
              <w:jc w:val="both"/>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主要贡献：参与项目所有核心内容的设计、实施、推广、撰写论文。其中第一作者代表作：《Clinical Outcomes and Patterns of Failure after Intensity-Modulated Radiotherapy for Nasopharyngeal Carcinoma》、《International Recommendations on Re-irradiation by Intensity-modulated Radiotherapy for Locally Recurrent Nasopharyngeal Carcinoma》。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855" w:type="pct"/>
            <w:vMerge w:val="continue"/>
            <w:tcBorders>
              <w:top w:val="nil"/>
            </w:tcBorders>
            <w:vAlign w:val="top"/>
          </w:tcPr>
          <w:p>
            <w:pPr>
              <w:pStyle w:val="6"/>
            </w:pP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李浩勋，主任医师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工作单位：香港大学深圳医院/香港大学</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w:t>
            </w:r>
          </w:p>
          <w:p>
            <w:pPr>
              <w:spacing w:before="68" w:line="226" w:lineRule="auto"/>
              <w:ind w:left="210" w:leftChars="100"/>
              <w:jc w:val="both"/>
              <w:rPr>
                <w:rFonts w:ascii="Times New Roman" w:hAnsi="Times New Roman" w:eastAsia="Times New Roman" w:cs="Times New Roman"/>
                <w:sz w:val="20"/>
                <w:szCs w:val="20"/>
              </w:rPr>
            </w:pPr>
            <w:r>
              <w:rPr>
                <w:rFonts w:hint="eastAsia" w:ascii="微软雅黑" w:hAnsi="微软雅黑" w:eastAsia="微软雅黑" w:cs="微软雅黑"/>
                <w:sz w:val="20"/>
                <w:szCs w:val="20"/>
                <w:lang w:val="en-US" w:eastAsia="zh-CN"/>
              </w:rPr>
              <w:t>主要贡献：参与项目主要核心内容1、2、3、4的部分设计、实施、推广，撰写论文。第一作者SCI如：《Hyperfractionation compared to standard fractionation in intensity-modulated radiation therapy for patients with locally advanced recurrent nasopharyngeal carcinoma》、《The addition of pretreatment plasma Epstein-Barr virus DNA into the eighth edition of nasopharyngeal cancer TNM stage classification》、《Correlation of PD-L1 Expression of Tumor Cells with Survival Outcomes after Radical Intensity-Modulated Radiation Therapy for Non-Metastatic Nasopharyngeal Carcinoma.》、《International recommendations for plasma Epstein-Barr virus DNA measurement in nasopharyngeal carcinoma in resource-constrained settings: lessons from the COVID-19 pandemic》、《Dosimetric Predictors of Hypothyroidism After Radical Intensity-modulated Radiation Therapy for Non-metastatic Nasopharyngeal Carcinoma. 》等。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林少俊，主任医师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工作单位：福建省肿瘤医院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完成单位：福建省肿瘤医院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承担了第2核心内容的项目设计、组织、监督、推广等工作，对主要科技创新2项作出了重要贡献，联络中国内地与香港多家癌症中心开展前瞻性队列研究。每年在国家级学术会议进行相关成果交流5-6次，先后帮助50多家医院开展鼻咽癌调强放射治疗，根据该成果，与国内鼻咽癌专家共同探讨并参与起草了鼻咽癌治疗的相关规范，在促进项目成果的推广应用方面做了大量的工作。第一作者代表作：《鼻咽癌前瞻性多中心临床分期研究的初步结果》，中华放射肿瘤学杂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潘建基，主任医师、教授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工作单位：福建省肿瘤医院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完成单位：福建省肿瘤医院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在项目中主要承担第2核心内容的设计、组织、监督、推广等工作，对2、3项主要科技创新均作出了贡献，在该项目中投入的工作量占其工作量的60％。牵头组织鼻咽癌分期研究工作，为UICC/AJCC提供分期修订建议，并被全盘采纳。与国内鼻咽癌专家共同探讨并执笔起草了鼻咽癌治疗的相关规范，作为执行主席，先后承办10余次国际及国家级学术会议，培养多名博士研究生与硕士研究生。在促进项目成果的推广应用方面做了大量的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代巍，研究员</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工作单位：香港大学深圳医院/香港大学</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完成单位：香港大学深圳医院/香港大学</w:t>
            </w:r>
          </w:p>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主要贡献：参与项目第4项核心内容的部分设计、实施、撰写论文；作为行业内富有经验的研究员负责领衔项目组鼻咽癌的基础研究、临床转化研究。作为第一、通讯作者带领团队发表多篇SCI，代表作《Clinical Outcome-Related Mutational Signatures Identified by Integrative Genomic Analysis in Nasopharyngeal Carcinoma》。</w:t>
            </w:r>
            <w:bookmarkStart w:id="7" w:name="_GoBack"/>
            <w:bookmarkEnd w:id="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徐志渊，主任医师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主要贡献：参与项目第3、4核心内容的应用实施、撰写论文。第一作者SCI：《A Single-Arm Phase 2 Trial on Induction Chemotherapy Followed by Concurrent Chemoradiation in Nasopharyngeal Carcinoma Using a Reduced Cumulative Dose of Cisplatin》。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bookmarkStart w:id="4" w:name="OLE_LINK5"/>
            <w:r>
              <w:rPr>
                <w:rFonts w:hint="eastAsia" w:ascii="微软雅黑" w:hAnsi="微软雅黑" w:eastAsia="微软雅黑" w:cs="微软雅黑"/>
                <w:sz w:val="20"/>
                <w:szCs w:val="20"/>
                <w:lang w:val="en-US" w:eastAsia="zh-CN"/>
              </w:rPr>
              <w:t>李济时，副主任医师</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参与项目第4核心内容的应用实施、撰写论文。与项目组负责人作为共同完成人完成深圳市科创委肿瘤综合临床路径课题。第一作者发表论文：《基于单病种全程管理的鼻咽癌新型临床路径的研发与实践》。</w:t>
            </w:r>
            <w:bookmarkEnd w:id="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68" w:line="226" w:lineRule="auto"/>
              <w:ind w:left="210" w:leftChars="100"/>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龚兰奇，助理研究员</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工作单位：香港大学深圳医院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完成单位：香港大学深圳医院</w:t>
            </w:r>
          </w:p>
          <w:p>
            <w:pPr>
              <w:spacing w:before="68" w:line="226"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主要贡献：参与项目第1核心内容的部分设计、实施、撰写论文。第一作者代表作：《Comprehensive single-cell sequencing reveals the stromal dynamics and tumor-specific characteristics in the microenvironment of nasopharyngeal carcinoma》。参与撰写并申请多项与鼻咽癌微环境与免疫治疗机制及转化研究的基金项目。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restart"/>
            <w:tcBorders>
              <w:bottom w:val="nil"/>
            </w:tcBorders>
            <w:vAlign w:val="top"/>
          </w:tcPr>
          <w:p>
            <w:pPr>
              <w:pStyle w:val="6"/>
              <w:spacing w:line="451" w:lineRule="auto"/>
            </w:pPr>
          </w:p>
          <w:p>
            <w:pPr>
              <w:spacing w:before="85" w:line="189" w:lineRule="auto"/>
              <w:ind w:left="284"/>
              <w:rPr>
                <w:rFonts w:ascii="微软雅黑" w:hAnsi="微软雅黑" w:eastAsia="微软雅黑" w:cs="微软雅黑"/>
                <w:sz w:val="20"/>
                <w:szCs w:val="20"/>
              </w:rPr>
            </w:pPr>
            <w:r>
              <w:rPr>
                <w:rFonts w:ascii="微软雅黑" w:hAnsi="微软雅黑" w:eastAsia="微软雅黑" w:cs="微软雅黑"/>
                <w:b/>
                <w:bCs/>
                <w:spacing w:val="9"/>
                <w:sz w:val="20"/>
                <w:szCs w:val="20"/>
              </w:rPr>
              <w:t>代表性论文</w:t>
            </w:r>
          </w:p>
          <w:p>
            <w:pPr>
              <w:spacing w:before="89" w:line="189" w:lineRule="auto"/>
              <w:ind w:left="392"/>
              <w:rPr>
                <w:rFonts w:ascii="微软雅黑" w:hAnsi="微软雅黑" w:eastAsia="微软雅黑" w:cs="微软雅黑"/>
                <w:sz w:val="20"/>
                <w:szCs w:val="20"/>
              </w:rPr>
            </w:pPr>
            <w:r>
              <w:rPr>
                <w:rFonts w:ascii="微软雅黑" w:hAnsi="微软雅黑" w:eastAsia="微软雅黑" w:cs="微软雅黑"/>
                <w:b/>
                <w:bCs/>
                <w:spacing w:val="8"/>
                <w:sz w:val="20"/>
                <w:szCs w:val="20"/>
              </w:rPr>
              <w:t>专著目录</w:t>
            </w:r>
          </w:p>
        </w:tc>
        <w:tc>
          <w:tcPr>
            <w:tcW w:w="4144" w:type="pct"/>
            <w:vAlign w:val="center"/>
          </w:tcPr>
          <w:p>
            <w:pPr>
              <w:spacing w:before="106" w:line="190" w:lineRule="auto"/>
              <w:ind w:firstLine="216" w:firstLineChars="100"/>
              <w:jc w:val="both"/>
              <w:rPr>
                <w:rFonts w:hint="eastAsia" w:ascii="微软雅黑" w:hAnsi="微软雅黑" w:eastAsia="微软雅黑" w:cs="微软雅黑"/>
                <w:spacing w:val="8"/>
                <w:sz w:val="20"/>
                <w:szCs w:val="20"/>
              </w:rPr>
            </w:pPr>
            <w:r>
              <w:rPr>
                <w:rFonts w:ascii="微软雅黑" w:hAnsi="微软雅黑" w:eastAsia="微软雅黑" w:cs="微软雅黑"/>
                <w:spacing w:val="8"/>
                <w:sz w:val="20"/>
                <w:szCs w:val="20"/>
              </w:rPr>
              <w:t xml:space="preserve">论文 </w:t>
            </w:r>
            <w:r>
              <w:rPr>
                <w:rFonts w:ascii="Times New Roman" w:hAnsi="Times New Roman" w:eastAsia="Times New Roman" w:cs="Times New Roman"/>
                <w:spacing w:val="8"/>
                <w:sz w:val="20"/>
                <w:szCs w:val="20"/>
              </w:rPr>
              <w:t>1</w:t>
            </w:r>
            <w:r>
              <w:rPr>
                <w:rFonts w:ascii="微软雅黑" w:hAnsi="微软雅黑" w:eastAsia="微软雅黑" w:cs="微软雅黑"/>
                <w:spacing w:val="8"/>
                <w:sz w:val="20"/>
                <w:szCs w:val="20"/>
              </w:rPr>
              <w:t>：</w:t>
            </w:r>
          </w:p>
          <w:p>
            <w:pPr>
              <w:spacing w:before="106" w:line="190" w:lineRule="auto"/>
              <w:ind w:left="210" w:left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International guideline for the delineation of the clinical target volumes (CTV) for nasopharyngeal carcinoma</w:t>
            </w:r>
          </w:p>
          <w:p>
            <w:pPr>
              <w:spacing w:before="106" w:line="190" w:lineRule="auto"/>
              <w:ind w:left="210" w:left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刊名</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Radiother Oncol</w:t>
            </w:r>
          </w:p>
          <w:p>
            <w:pPr>
              <w:spacing w:before="106" w:line="190" w:lineRule="auto"/>
              <w:ind w:left="210" w:left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卷(期)及页码</w:t>
            </w:r>
            <w:r>
              <w:rPr>
                <w:rFonts w:hint="eastAsia" w:ascii="微软雅黑" w:hAnsi="微软雅黑" w:eastAsia="微软雅黑" w:cs="微软雅黑"/>
                <w:spacing w:val="8"/>
                <w:sz w:val="20"/>
                <w:szCs w:val="20"/>
              </w:rPr>
              <w:tab/>
            </w:r>
            <w:r>
              <w:rPr>
                <w:rFonts w:hint="eastAsia" w:ascii="微软雅黑" w:hAnsi="微软雅黑" w:eastAsia="微软雅黑" w:cs="微软雅黑"/>
                <w:spacing w:val="8"/>
                <w:sz w:val="20"/>
                <w:szCs w:val="20"/>
              </w:rPr>
              <w:t>2018 Jan;126(1):25-36.</w:t>
            </w:r>
          </w:p>
          <w:p>
            <w:pPr>
              <w:spacing w:before="106" w:line="190" w:lineRule="auto"/>
              <w:ind w:left="210" w:leftChars="100"/>
              <w:jc w:val="both"/>
              <w:rPr>
                <w:rFonts w:hint="default"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rPr>
              <w:t>第一作者（含共同）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李咏梅</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lang w:val="en-US" w:eastAsia="zh-CN"/>
              </w:rPr>
              <w:t>吴伟棠、潘建基</w:t>
            </w:r>
          </w:p>
          <w:p>
            <w:pPr>
              <w:spacing w:before="106" w:line="190" w:lineRule="auto"/>
              <w:ind w:left="210" w:leftChars="100"/>
              <w:jc w:val="both"/>
              <w:rPr>
                <w:rFonts w:ascii="Times New Roman" w:hAnsi="Times New Roman" w:eastAsia="Times New Roman" w:cs="Times New Roman"/>
                <w:sz w:val="20"/>
                <w:szCs w:val="20"/>
              </w:rPr>
            </w:pPr>
            <w:r>
              <w:rPr>
                <w:rFonts w:hint="eastAsia" w:ascii="微软雅黑" w:hAnsi="微软雅黑" w:eastAsia="微软雅黑" w:cs="微软雅黑"/>
                <w:spacing w:val="8"/>
                <w:sz w:val="20"/>
                <w:szCs w:val="20"/>
              </w:rPr>
              <w:t>通讯作者（含共同）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Joseph T. Wee</w:t>
            </w:r>
            <w:r>
              <w:rPr>
                <w:rFonts w:hint="eastAsia" w:ascii="微软雅黑" w:hAnsi="微软雅黑" w:eastAsia="微软雅黑" w:cs="微软雅黑"/>
                <w:spacing w:val="8"/>
                <w:sz w:val="20"/>
                <w:szCs w:val="2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continue"/>
            <w:tcBorders>
              <w:top w:val="nil"/>
              <w:bottom w:val="nil"/>
            </w:tcBorders>
            <w:vAlign w:val="top"/>
          </w:tcPr>
          <w:p>
            <w:pPr>
              <w:pStyle w:val="6"/>
            </w:pPr>
          </w:p>
        </w:tc>
        <w:tc>
          <w:tcPr>
            <w:tcW w:w="4144" w:type="pct"/>
            <w:vAlign w:val="center"/>
          </w:tcPr>
          <w:p>
            <w:pPr>
              <w:spacing w:before="106" w:line="190" w:lineRule="auto"/>
              <w:ind w:firstLine="216" w:firstLineChars="100"/>
              <w:jc w:val="both"/>
              <w:rPr>
                <w:rFonts w:hint="eastAsia"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论文2：</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International Guideline on Dose Prioritization and Acceptance Criteria in Radiation Therapy Planning for Nasopharyngeal Carcinoma</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刊名</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lang w:val="en-US" w:eastAsia="zh-CN"/>
              </w:rPr>
              <w:t>I</w:t>
            </w:r>
            <w:r>
              <w:rPr>
                <w:rFonts w:hint="eastAsia" w:ascii="微软雅黑" w:hAnsi="微软雅黑" w:eastAsia="微软雅黑" w:cs="微软雅黑"/>
                <w:spacing w:val="8"/>
                <w:sz w:val="20"/>
                <w:szCs w:val="20"/>
              </w:rPr>
              <w:t>nt J Radiat Oncol Biol Phys</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年,卷(期)及页码</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2019 Nov  1;105(3):567-580.</w:t>
            </w:r>
          </w:p>
          <w:p>
            <w:pPr>
              <w:spacing w:before="106" w:line="190" w:lineRule="auto"/>
              <w:ind w:left="210" w:leftChars="100"/>
              <w:jc w:val="both"/>
              <w:rPr>
                <w:rFonts w:ascii="微软雅黑" w:hAnsi="微软雅黑" w:eastAsia="微软雅黑" w:cs="微软雅黑"/>
                <w:spacing w:val="8"/>
                <w:sz w:val="20"/>
                <w:szCs w:val="20"/>
              </w:rPr>
            </w:pPr>
            <w:bookmarkStart w:id="5" w:name="OLE_LINK6"/>
            <w:r>
              <w:rPr>
                <w:rFonts w:hint="eastAsia" w:ascii="微软雅黑" w:hAnsi="微软雅黑" w:eastAsia="微软雅黑" w:cs="微软雅黑"/>
                <w:spacing w:val="8"/>
                <w:sz w:val="20"/>
                <w:szCs w:val="20"/>
              </w:rPr>
              <w:t>第一作者（含共同）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李咏梅</w:t>
            </w:r>
          </w:p>
          <w:p>
            <w:pPr>
              <w:spacing w:before="106" w:line="190" w:lineRule="auto"/>
              <w:ind w:firstLine="216" w:firstLineChars="100"/>
              <w:jc w:val="both"/>
              <w:rPr>
                <w:rFonts w:ascii="微软雅黑" w:hAnsi="微软雅黑" w:eastAsia="微软雅黑" w:cs="微软雅黑"/>
                <w:spacing w:val="8"/>
                <w:sz w:val="20"/>
                <w:szCs w:val="20"/>
              </w:rPr>
            </w:pPr>
            <w:r>
              <w:rPr>
                <w:rFonts w:hint="eastAsia" w:ascii="微软雅黑" w:hAnsi="微软雅黑" w:eastAsia="微软雅黑" w:cs="微软雅黑"/>
                <w:spacing w:val="8"/>
                <w:sz w:val="20"/>
                <w:szCs w:val="20"/>
              </w:rPr>
              <w:t>通讯作者（含共同）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Joseph T. Wee</w:t>
            </w:r>
            <w:bookmarkEnd w:id="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continue"/>
            <w:tcBorders>
              <w:top w:val="nil"/>
              <w:bottom w:val="nil"/>
            </w:tcBorders>
            <w:vAlign w:val="top"/>
          </w:tcPr>
          <w:p>
            <w:pPr>
              <w:pStyle w:val="6"/>
            </w:pPr>
          </w:p>
        </w:tc>
        <w:tc>
          <w:tcPr>
            <w:tcW w:w="4144" w:type="pct"/>
            <w:vAlign w:val="center"/>
          </w:tcPr>
          <w:p>
            <w:pPr>
              <w:spacing w:before="106" w:line="190" w:lineRule="auto"/>
              <w:ind w:firstLine="216" w:firstLineChars="100"/>
              <w:jc w:val="both"/>
              <w:rPr>
                <w:rFonts w:hint="default"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论文3：</w:t>
            </w:r>
          </w:p>
          <w:p>
            <w:pPr>
              <w:spacing w:before="106" w:line="190" w:lineRule="auto"/>
              <w:ind w:firstLine="216" w:firstLineChars="100"/>
              <w:jc w:val="left"/>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Preliminary results of trial NPC-0501 evaluating the therapeutic gain by changing from concurrent-adjuvant to induction-concurrent chemoradiotherapy, changing from fluorouracil to capecitabine, and changing from conventional to accelerated radiotherapy fractionation in patients with locoregionally advanced nasopharyngeal carcinoma</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刊名</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Cancer</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年,卷(期)及页码</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2015 Apr 15;121(8):1328-38.</w:t>
            </w:r>
          </w:p>
          <w:p>
            <w:pPr>
              <w:spacing w:before="106" w:line="190" w:lineRule="auto"/>
              <w:ind w:left="210" w:leftChars="100"/>
              <w:jc w:val="both"/>
              <w:rPr>
                <w:rFonts w:ascii="微软雅黑" w:hAnsi="微软雅黑" w:eastAsia="微软雅黑" w:cs="微软雅黑"/>
                <w:spacing w:val="8"/>
                <w:sz w:val="20"/>
                <w:szCs w:val="20"/>
              </w:rPr>
            </w:pPr>
            <w:r>
              <w:rPr>
                <w:rFonts w:hint="eastAsia" w:ascii="微软雅黑" w:hAnsi="微软雅黑" w:eastAsia="微软雅黑" w:cs="微软雅黑"/>
                <w:spacing w:val="8"/>
                <w:sz w:val="20"/>
                <w:szCs w:val="20"/>
              </w:rPr>
              <w:t>第一作者（含共同）</w:t>
            </w:r>
            <w:r>
              <w:rPr>
                <w:rFonts w:hint="eastAsia" w:ascii="微软雅黑" w:hAnsi="微软雅黑" w:eastAsia="微软雅黑" w:cs="微软雅黑"/>
                <w:spacing w:val="8"/>
                <w:sz w:val="20"/>
                <w:szCs w:val="20"/>
                <w:lang w:eastAsia="zh-CN"/>
              </w:rPr>
              <w:t>：</w:t>
            </w:r>
            <w:bookmarkStart w:id="6" w:name="OLE_LINK7"/>
            <w:r>
              <w:rPr>
                <w:rFonts w:hint="eastAsia" w:ascii="微软雅黑" w:hAnsi="微软雅黑" w:eastAsia="微软雅黑" w:cs="微软雅黑"/>
                <w:spacing w:val="8"/>
                <w:sz w:val="20"/>
                <w:szCs w:val="20"/>
              </w:rPr>
              <w:t>李咏梅</w:t>
            </w:r>
            <w:bookmarkEnd w:id="6"/>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通讯作者（含共同）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李咏梅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vMerge w:val="continue"/>
            <w:tcBorders>
              <w:top w:val="nil"/>
            </w:tcBorders>
            <w:vAlign w:val="top"/>
          </w:tcPr>
          <w:p>
            <w:pPr>
              <w:pStyle w:val="6"/>
            </w:pPr>
          </w:p>
        </w:tc>
        <w:tc>
          <w:tcPr>
            <w:tcW w:w="4144" w:type="pct"/>
            <w:vAlign w:val="center"/>
          </w:tcPr>
          <w:p>
            <w:pPr>
              <w:spacing w:before="106" w:line="190" w:lineRule="auto"/>
              <w:ind w:firstLine="216" w:firstLineChars="100"/>
              <w:jc w:val="both"/>
              <w:rPr>
                <w:rFonts w:hint="default"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论文4：</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鼻咽癌前瞻性多中心临床分期研究的初 步结果</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刊名</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中华放射肿瘤学杂志</w:t>
            </w:r>
            <w:r>
              <w:rPr>
                <w:rFonts w:hint="eastAsia" w:ascii="微软雅黑" w:hAnsi="微软雅黑" w:eastAsia="微软雅黑" w:cs="微软雅黑"/>
                <w:spacing w:val="8"/>
                <w:sz w:val="20"/>
                <w:szCs w:val="20"/>
              </w:rPr>
              <w:tab/>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年,卷(期)及页码</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2015,  024(003):275-280.</w:t>
            </w:r>
          </w:p>
          <w:p>
            <w:pPr>
              <w:spacing w:before="106" w:line="190" w:lineRule="auto"/>
              <w:ind w:firstLine="216" w:firstLineChars="100"/>
              <w:jc w:val="both"/>
              <w:rPr>
                <w:rFonts w:hint="eastAsia" w:ascii="微软雅黑" w:hAnsi="微软雅黑" w:eastAsia="微软雅黑" w:cs="微软雅黑"/>
                <w:spacing w:val="8"/>
                <w:sz w:val="20"/>
                <w:szCs w:val="20"/>
              </w:rPr>
            </w:pPr>
            <w:r>
              <w:rPr>
                <w:rFonts w:hint="eastAsia" w:ascii="微软雅黑" w:hAnsi="微软雅黑" w:eastAsia="微软雅黑" w:cs="微软雅黑"/>
                <w:spacing w:val="8"/>
                <w:sz w:val="20"/>
                <w:szCs w:val="20"/>
              </w:rPr>
              <w:t>第一作者（含共同）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林少俊</w:t>
            </w:r>
          </w:p>
          <w:p>
            <w:pPr>
              <w:spacing w:before="106" w:line="190" w:lineRule="auto"/>
              <w:ind w:firstLine="216" w:firstLineChars="100"/>
              <w:jc w:val="both"/>
              <w:rPr>
                <w:rFonts w:ascii="微软雅黑" w:hAnsi="微软雅黑" w:eastAsia="微软雅黑" w:cs="微软雅黑"/>
                <w:spacing w:val="8"/>
                <w:sz w:val="20"/>
                <w:szCs w:val="20"/>
              </w:rPr>
            </w:pPr>
            <w:r>
              <w:rPr>
                <w:rFonts w:hint="eastAsia" w:ascii="微软雅黑" w:hAnsi="微软雅黑" w:eastAsia="微软雅黑" w:cs="微软雅黑"/>
                <w:spacing w:val="8"/>
                <w:sz w:val="20"/>
                <w:szCs w:val="20"/>
              </w:rPr>
              <w:t>通讯作者（含共同）</w:t>
            </w:r>
            <w:r>
              <w:rPr>
                <w:rFonts w:hint="eastAsia" w:ascii="微软雅黑" w:hAnsi="微软雅黑" w:eastAsia="微软雅黑" w:cs="微软雅黑"/>
                <w:spacing w:val="8"/>
                <w:sz w:val="20"/>
                <w:szCs w:val="20"/>
                <w:lang w:eastAsia="zh-CN"/>
              </w:rPr>
              <w:t>：</w:t>
            </w:r>
            <w:r>
              <w:rPr>
                <w:rFonts w:hint="eastAsia" w:ascii="微软雅黑" w:hAnsi="微软雅黑" w:eastAsia="微软雅黑" w:cs="微软雅黑"/>
                <w:spacing w:val="8"/>
                <w:sz w:val="20"/>
                <w:szCs w:val="20"/>
              </w:rPr>
              <w:t>潘建基</w:t>
            </w:r>
            <w:r>
              <w:rPr>
                <w:rFonts w:hint="eastAsia" w:ascii="微软雅黑" w:hAnsi="微软雅黑" w:eastAsia="微软雅黑" w:cs="微软雅黑"/>
                <w:spacing w:val="8"/>
                <w:sz w:val="20"/>
                <w:szCs w:val="2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top w:val="nil"/>
            </w:tcBorders>
            <w:vAlign w:val="top"/>
          </w:tcPr>
          <w:p>
            <w:pPr>
              <w:pStyle w:val="6"/>
            </w:pPr>
          </w:p>
        </w:tc>
        <w:tc>
          <w:tcPr>
            <w:tcW w:w="4144" w:type="pct"/>
            <w:vAlign w:val="center"/>
          </w:tcPr>
          <w:p>
            <w:pPr>
              <w:spacing w:before="106" w:line="190" w:lineRule="auto"/>
              <w:ind w:firstLine="216" w:firstLineChars="100"/>
              <w:jc w:val="both"/>
              <w:rPr>
                <w:rFonts w:hint="eastAsia"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论著1：</w:t>
            </w:r>
          </w:p>
          <w:p>
            <w:pPr>
              <w:spacing w:before="106" w:line="190" w:lineRule="auto"/>
              <w:ind w:firstLine="216" w:firstLineChars="100"/>
              <w:jc w:val="both"/>
              <w:rPr>
                <w:rFonts w:hint="default" w:ascii="微软雅黑" w:hAnsi="微软雅黑" w:eastAsia="微软雅黑" w:cs="微软雅黑"/>
                <w:spacing w:val="8"/>
                <w:sz w:val="20"/>
                <w:szCs w:val="20"/>
                <w:lang w:val="en-US" w:eastAsia="zh-CN"/>
              </w:rPr>
            </w:pPr>
            <w:r>
              <w:rPr>
                <w:rFonts w:hint="default" w:ascii="微软雅黑" w:hAnsi="微软雅黑" w:eastAsia="微软雅黑" w:cs="微软雅黑"/>
                <w:spacing w:val="8"/>
                <w:sz w:val="20"/>
                <w:szCs w:val="20"/>
                <w:lang w:val="en-US" w:eastAsia="zh-CN"/>
              </w:rPr>
              <w:t>nasopharyngeal carcinoma: from</w:t>
            </w:r>
            <w:r>
              <w:rPr>
                <w:rFonts w:hint="eastAsia" w:ascii="微软雅黑" w:hAnsi="微软雅黑" w:eastAsia="微软雅黑" w:cs="微软雅黑"/>
                <w:spacing w:val="8"/>
                <w:sz w:val="20"/>
                <w:szCs w:val="20"/>
                <w:lang w:val="en-US" w:eastAsia="zh-CN"/>
              </w:rPr>
              <w:t xml:space="preserve"> </w:t>
            </w:r>
            <w:r>
              <w:rPr>
                <w:rFonts w:hint="default" w:ascii="微软雅黑" w:hAnsi="微软雅黑" w:eastAsia="微软雅黑" w:cs="微软雅黑"/>
                <w:spacing w:val="8"/>
                <w:sz w:val="20"/>
                <w:szCs w:val="20"/>
                <w:lang w:val="en-US" w:eastAsia="zh-CN"/>
              </w:rPr>
              <w:t>etiology to clinical practice</w:t>
            </w:r>
          </w:p>
          <w:p>
            <w:pPr>
              <w:spacing w:before="106" w:line="190" w:lineRule="auto"/>
              <w:ind w:firstLine="216" w:firstLineChars="100"/>
              <w:jc w:val="both"/>
              <w:rPr>
                <w:rFonts w:hint="eastAsia"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出版社：Stacy Masucci</w:t>
            </w:r>
          </w:p>
          <w:p>
            <w:pPr>
              <w:spacing w:before="106" w:line="190" w:lineRule="auto"/>
              <w:ind w:firstLine="216" w:firstLineChars="100"/>
              <w:jc w:val="both"/>
              <w:rPr>
                <w:rFonts w:hint="eastAsia"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主编：李咏梅，</w:t>
            </w:r>
            <w:r>
              <w:rPr>
                <w:rFonts w:hint="eastAsia" w:ascii="微软雅黑" w:hAnsi="微软雅黑" w:eastAsia="微软雅黑" w:cs="微软雅黑"/>
                <w:spacing w:val="8"/>
                <w:sz w:val="20"/>
                <w:szCs w:val="20"/>
                <w:highlight w:val="none"/>
                <w:lang w:val="en-US" w:eastAsia="zh-CN"/>
              </w:rPr>
              <w:t>MARIA LI LUNG</w:t>
            </w:r>
            <w:r>
              <w:rPr>
                <w:rFonts w:hint="eastAsia" w:ascii="微软雅黑" w:hAnsi="微软雅黑" w:eastAsia="微软雅黑" w:cs="微软雅黑"/>
                <w:spacing w:val="8"/>
                <w:sz w:val="20"/>
                <w:szCs w:val="20"/>
                <w:lang w:val="en-US" w:eastAsia="zh-CN"/>
              </w:rPr>
              <w:t>，吴伟棠</w:t>
            </w:r>
          </w:p>
          <w:p>
            <w:pPr>
              <w:spacing w:before="106" w:line="190" w:lineRule="auto"/>
              <w:ind w:firstLine="216" w:firstLineChars="100"/>
              <w:jc w:val="both"/>
              <w:rPr>
                <w:rFonts w:hint="default"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副主编：无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55" w:type="pct"/>
            <w:tcBorders>
              <w:bottom w:val="single" w:color="000000" w:sz="2" w:space="0"/>
            </w:tcBorders>
            <w:vAlign w:val="top"/>
          </w:tcPr>
          <w:p>
            <w:pPr>
              <w:spacing w:before="86" w:line="189" w:lineRule="auto"/>
              <w:ind w:firstLine="218" w:firstLineChars="100"/>
              <w:rPr>
                <w:rFonts w:ascii="微软雅黑" w:hAnsi="微软雅黑" w:eastAsia="微软雅黑" w:cs="微软雅黑"/>
                <w:sz w:val="20"/>
                <w:szCs w:val="20"/>
              </w:rPr>
            </w:pPr>
            <w:r>
              <w:rPr>
                <w:rFonts w:ascii="微软雅黑" w:hAnsi="微软雅黑" w:eastAsia="微软雅黑" w:cs="微软雅黑"/>
                <w:b/>
                <w:bCs/>
                <w:spacing w:val="9"/>
                <w:sz w:val="20"/>
                <w:szCs w:val="20"/>
              </w:rPr>
              <w:t>知识产权名称</w:t>
            </w:r>
          </w:p>
        </w:tc>
        <w:tc>
          <w:tcPr>
            <w:tcW w:w="4144" w:type="pct"/>
            <w:tcBorders>
              <w:bottom w:val="single" w:color="000000" w:sz="2" w:space="0"/>
            </w:tcBorders>
            <w:vAlign w:val="center"/>
          </w:tcPr>
          <w:p>
            <w:pPr>
              <w:spacing w:before="70" w:line="225" w:lineRule="auto"/>
              <w:ind w:left="210" w:leftChars="100"/>
              <w:jc w:val="both"/>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无</w:t>
            </w:r>
          </w:p>
        </w:tc>
      </w:tr>
    </w:tbl>
    <w:p>
      <w:pPr>
        <w:rPr>
          <w:rFonts w:ascii="Arial"/>
          <w:sz w:val="21"/>
        </w:rPr>
      </w:pPr>
    </w:p>
    <w:p>
      <w:pPr>
        <w:rPr>
          <w:rFonts w:ascii="Arial" w:hAnsi="Arial" w:eastAsia="Arial" w:cs="Arial"/>
          <w:sz w:val="21"/>
          <w:szCs w:val="21"/>
        </w:rPr>
        <w:sectPr>
          <w:footerReference r:id="rId5" w:type="default"/>
          <w:pgSz w:w="11906" w:h="16839"/>
          <w:pgMar w:top="1431" w:right="933" w:bottom="1114" w:left="1499" w:header="0" w:footer="836" w:gutter="0"/>
          <w:pgBorders>
            <w:top w:val="none" w:sz="0" w:space="0"/>
            <w:left w:val="none" w:sz="0" w:space="0"/>
            <w:bottom w:val="none" w:sz="0" w:space="0"/>
            <w:right w:val="none" w:sz="0" w:space="0"/>
          </w:pgBorders>
          <w:cols w:space="720" w:num="1"/>
        </w:sectPr>
      </w:pPr>
    </w:p>
    <w:p>
      <w:pPr>
        <w:spacing w:line="243" w:lineRule="auto"/>
        <w:rPr>
          <w:rFonts w:ascii="Arial"/>
          <w:sz w:val="21"/>
        </w:rPr>
      </w:pPr>
      <w:r>
        <w:pict>
          <v:shape id="_x0000_s1027" o:spid="_x0000_s1027" o:spt="202" type="#_x0000_t202" style="position:absolute;left:0pt;margin-left:303.65pt;margin-top:786.95pt;height:4.6pt;width:16.6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20" w:line="51"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w:t>
                  </w:r>
                  <w:r>
                    <w:rPr>
                      <w:rFonts w:ascii="Times New Roman" w:hAnsi="Times New Roman" w:eastAsia="Times New Roman" w:cs="Times New Roman"/>
                      <w:spacing w:val="1"/>
                      <w:position w:val="-2"/>
                      <w:sz w:val="18"/>
                      <w:szCs w:val="18"/>
                    </w:rPr>
                    <w:t xml:space="preserve">    </w:t>
                  </w:r>
                  <w:r>
                    <w:rPr>
                      <w:rFonts w:ascii="Times New Roman" w:hAnsi="Times New Roman" w:eastAsia="Times New Roman" w:cs="Times New Roman"/>
                      <w:spacing w:val="-4"/>
                      <w:position w:val="-2"/>
                      <w:sz w:val="18"/>
                      <w:szCs w:val="18"/>
                    </w:rPr>
                    <w:t>-</w:t>
                  </w:r>
                </w:p>
              </w:txbxContent>
            </v:textbox>
          </v:shape>
        </w:pict>
      </w:r>
      <w:r>
        <w:pict>
          <v:shape id="_x0000_s1028" o:spid="_x0000_s1028" o:spt="202" type="#_x0000_t202" style="position:absolute;left:0pt;margin-left:503.05pt;margin-top:789.55pt;height:11.5pt;width:36.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pStyle w:val="2"/>
                    <w:spacing w:before="20" w:line="189" w:lineRule="exact"/>
                    <w:ind w:left="20"/>
                  </w:pPr>
                  <w:r>
                    <w:rPr>
                      <w:spacing w:val="-5"/>
                      <w:position w:val="-5"/>
                    </w:rPr>
                    <w:t>-</w:t>
                  </w:r>
                  <w:r>
                    <w:rPr>
                      <w:spacing w:val="2"/>
                      <w:position w:val="-5"/>
                    </w:rPr>
                    <w:t xml:space="preserve">   </w:t>
                  </w:r>
                  <w:r>
                    <w:rPr>
                      <w:spacing w:val="-5"/>
                      <w:position w:val="-5"/>
                    </w:rPr>
                    <w:t>-</w:t>
                  </w:r>
                </w:p>
              </w:txbxContent>
            </v:textbox>
          </v:shape>
        </w:pict>
      </w:r>
    </w:p>
    <w:p>
      <w:pPr>
        <w:spacing w:line="244" w:lineRule="auto"/>
        <w:rPr>
          <w:rFonts w:ascii="Arial"/>
          <w:sz w:val="21"/>
        </w:rPr>
      </w:pPr>
    </w:p>
    <w:p>
      <w:pPr>
        <w:spacing w:before="12"/>
      </w:pPr>
    </w:p>
    <w:p>
      <w:pPr>
        <w:spacing w:before="12"/>
      </w:pPr>
    </w:p>
    <w:p>
      <w:pPr>
        <w:spacing w:before="11"/>
      </w:pPr>
    </w:p>
    <w:sectPr>
      <w:footerReference r:id="rId6" w:type="default"/>
      <w:type w:val="continuous"/>
      <w:pgSz w:w="11906" w:h="16839"/>
      <w:pgMar w:top="1431" w:right="933" w:bottom="400" w:left="1499" w:header="0" w:footer="0" w:gutter="0"/>
      <w:pgBorders>
        <w:top w:val="none" w:sz="0" w:space="0"/>
        <w:left w:val="none" w:sz="0" w:space="0"/>
        <w:bottom w:val="none" w:sz="0" w:space="0"/>
        <w:right w:val="none" w:sz="0" w:space="0"/>
      </w:pgBorders>
      <w:cols w:equalWidth="0" w:num="2">
        <w:col w:w="4495" w:space="100"/>
        <w:col w:w="4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11"/>
      <w:rPr>
        <w:rFonts w:ascii="宋体" w:hAnsi="宋体" w:eastAsia="宋体" w:cs="宋体"/>
        <w:sz w:val="28"/>
        <w:szCs w:val="28"/>
      </w:rPr>
    </w:pPr>
    <w:r>
      <w:pict>
        <v:shape id="_x0000_s2049" o:spid="_x0000_s2049" o:spt="202" type="#_x0000_t202" style="position:absolute;left:0pt;margin-left:228.7pt;margin-top:0.85pt;height:6.35pt;width:16.65pt;z-index:251659264;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宋体" w:hAnsi="宋体" w:eastAsia="宋体" w:cs="宋体"/>
        <w:spacing w:val="-8"/>
        <w:sz w:val="28"/>
        <w:szCs w:val="28"/>
      </w:rPr>
      <w:t>-</w:t>
    </w:r>
    <w:r>
      <w:rPr>
        <w:rFonts w:ascii="宋体" w:hAnsi="宋体" w:eastAsia="宋体" w:cs="宋体"/>
        <w:spacing w:val="13"/>
        <w:sz w:val="28"/>
        <w:szCs w:val="28"/>
      </w:rPr>
      <w:t xml:space="preserve"> </w:t>
    </w:r>
    <w:r>
      <w:rPr>
        <w:rFonts w:ascii="宋体" w:hAnsi="宋体" w:eastAsia="宋体" w:cs="宋体"/>
        <w:spacing w:val="-8"/>
        <w:sz w:val="28"/>
        <w:szCs w:val="28"/>
      </w:rPr>
      <w:t>2</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VjNDI1ZTQzY2UxMjU4NmU0MTJlZTgzZTg4ZGNkMjgifQ=="/>
  </w:docVars>
  <w:rsids>
    <w:rsidRoot w:val="00000000"/>
    <w:rsid w:val="044904CB"/>
    <w:rsid w:val="056D52E8"/>
    <w:rsid w:val="07797F74"/>
    <w:rsid w:val="0F4A2583"/>
    <w:rsid w:val="16215225"/>
    <w:rsid w:val="1BCC2910"/>
    <w:rsid w:val="222D3FA5"/>
    <w:rsid w:val="227D5FFA"/>
    <w:rsid w:val="25D47FFB"/>
    <w:rsid w:val="29EC23D0"/>
    <w:rsid w:val="2A720166"/>
    <w:rsid w:val="31F86618"/>
    <w:rsid w:val="3220355E"/>
    <w:rsid w:val="36123DD5"/>
    <w:rsid w:val="38996E8B"/>
    <w:rsid w:val="38CA4224"/>
    <w:rsid w:val="3A3E21CB"/>
    <w:rsid w:val="3B64270E"/>
    <w:rsid w:val="42D102DC"/>
    <w:rsid w:val="42D812EB"/>
    <w:rsid w:val="45B25DA7"/>
    <w:rsid w:val="468D10C9"/>
    <w:rsid w:val="477F61D9"/>
    <w:rsid w:val="5560764A"/>
    <w:rsid w:val="55F36710"/>
    <w:rsid w:val="5B92737E"/>
    <w:rsid w:val="5D441BF3"/>
    <w:rsid w:val="613227E3"/>
    <w:rsid w:val="656A1EB7"/>
    <w:rsid w:val="6A9C0D49"/>
    <w:rsid w:val="6D9914F3"/>
    <w:rsid w:val="72BB170D"/>
    <w:rsid w:val="77A15B74"/>
    <w:rsid w:val="795F1843"/>
    <w:rsid w:val="7ED56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2023-10-07T14:56:00Z</dcterms:created>
  <dc:creator>藏羚羊^^</dc:creator>
  <cp:lastModifiedBy>李济时</cp:lastModifiedBy>
  <dcterms:modified xsi:type="dcterms:W3CDTF">2023-10-27T08:36:10Z</dcterms:modified>
  <dc:title>附件4 2023年度广东省科学技奖公示表230926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2023-10-19T12:53:45Z</vt:filetime>
  </property>
  <property fmtid="{D5CDD505-2E9C-101B-9397-08002B2CF9AE}" pid="4" name="KSOProductBuildVer">
    <vt:lpwstr>2052-12.1.0.15712</vt:lpwstr>
  </property>
  <property fmtid="{D5CDD505-2E9C-101B-9397-08002B2CF9AE}" pid="5" name="ICV">
    <vt:lpwstr>9E0B5195C8004D50BA27DBD2CB75987A_12</vt:lpwstr>
  </property>
</Properties>
</file>